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 6 English Curriculum</w:t>
      </w:r>
    </w:p>
    <w:tbl>
      <w:tblPr>
        <w:tblStyle w:val="Table1"/>
        <w:tblW w:w="21972.0" w:type="dxa"/>
        <w:jc w:val="left"/>
        <w:tblInd w:w="-567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3496"/>
        <w:gridCol w:w="3497"/>
        <w:gridCol w:w="3496"/>
        <w:gridCol w:w="3578"/>
        <w:gridCol w:w="3415"/>
        <w:gridCol w:w="3497"/>
        <w:tblGridChange w:id="0">
          <w:tblGrid>
            <w:gridCol w:w="993"/>
            <w:gridCol w:w="3496"/>
            <w:gridCol w:w="3497"/>
            <w:gridCol w:w="3496"/>
            <w:gridCol w:w="3578"/>
            <w:gridCol w:w="3415"/>
            <w:gridCol w:w="3497"/>
          </w:tblGrid>
        </w:tblGridChange>
      </w:tblGrid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to inform/explain  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to entertain 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to discuss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to entertain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to persuade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ind w:left="113" w:right="113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Goodnight Mr Tom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Skellig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(David Almond)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Continuation of the text from Autumn 1 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 based texts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Pig Heart Boy (</w:t>
            </w:r>
            <w:r w:rsidDel="00000000" w:rsidR="00000000" w:rsidRPr="00000000">
              <w:rPr>
                <w:rtl w:val="0"/>
              </w:rPr>
              <w:t xml:space="preserve">Malorie Blackman)</w:t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Tom’s Midnight Garden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(Phillipa Pearce)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Continuation of text from Spring 1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 based  texts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Film based – Film version of a text or Literacy shed film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Choose one from: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Continuation of film from Summer 1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 based text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Writing Outcomes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Setting description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and/or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Story (character with “backstory”)</w:t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Story with tension/suspense</w:t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Newspaper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Biographical writing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letter/message as character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Additional chapter for known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Formal persuasive letter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Advertising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Explanation</w:t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story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Film narrative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Poetry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Balanced argument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Text Level features </w:t>
            </w:r>
          </w:p>
          <w:p w:rsidR="00000000" w:rsidDel="00000000" w:rsidP="00000000" w:rsidRDefault="00000000" w:rsidRPr="00000000" w14:paraId="00000041">
            <w:pPr>
              <w:pageBreakBefore w:val="0"/>
              <w:ind w:left="113" w:right="113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dialogue to move the story on. </w:t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suspense and cliff hangers. </w:t>
            </w:r>
          </w:p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 in literacy feature to create effects (e.g. alliteration, onomatopoeia, similes, metaphors)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Revise structure of Introductions, middle, ending where appropriate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effect use of planning. </w:t>
            </w:r>
          </w:p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variety of text layouts appropriate to purpose</w:t>
            </w:r>
          </w:p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or create publishing format to enhance text type and engage the reader</w:t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Linking ideas across paragraphs using a wider range of cohesive devices including semantic cohesion (repetition of a word or phrase) and elision </w:t>
            </w:r>
          </w:p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layout devices such as headings, sub-headings, columns,  bullets or tables to structure text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Vary connectives within paragraphs to build cohesion into a paragraph. Use change of place, time and action to link ideas across paragraphs. </w:t>
            </w:r>
          </w:p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development of characterisation </w:t>
            </w:r>
          </w:p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Creative approaches to story structure – starting at any point of the 5 part story structure (e.g. flashbacks or flash-forwards, time slips etc). </w:t>
            </w:r>
          </w:p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plot consistently working from a plan. </w:t>
            </w:r>
          </w:p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Build in literacy feature to create effects (e.g. alliteration, onomatopoeia, similes, metaphors)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 own opinions clearly</w:t>
            </w:r>
          </w:p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Consistently maintain viewpoint</w:t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summary at the end to appeal directly to the reader</w:t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effect use of planning.</w:t>
            </w:r>
          </w:p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variety of text layouts appropriate to purpose</w:t>
            </w:r>
          </w:p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range of techniques to involve the reader – comments, questions, observations, rhetorical questions</w:t>
            </w:r>
          </w:p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or create publishing format to enhance text type and engage the reader</w:t>
            </w:r>
          </w:p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Linking ideas across paragraphs using a wider range of cohesive devices including semantic cohesion (repetition of a word or phrase), grammatical connections (use of adverbials e.g. on the other hand, in contrast, as a consequence 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elision </w:t>
            </w:r>
          </w:p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layout devices such as headings, sub-headings, bullets or tables to structure text</w:t>
            </w:r>
          </w:p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dialogue to move the story on. </w:t>
            </w:r>
          </w:p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plot consistently working from a plan. </w:t>
            </w:r>
          </w:p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 in literacy feature to create effects (e.g. alliteration, onomatopoeia, similes, metaphors)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effect use of planning.</w:t>
            </w:r>
          </w:p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 balanced coverage of a topic</w:t>
            </w:r>
          </w:p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Linking ideas across paragraphs using a wider range of cohesive devices including grammatical connections (use of adverbials e.g. on the other hand, in contrast, as a consequence )</w:t>
            </w:r>
          </w:p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 construction, grammar &amp; punctuation </w:t>
            </w:r>
          </w:p>
          <w:p w:rsidR="00000000" w:rsidDel="00000000" w:rsidP="00000000" w:rsidRDefault="00000000" w:rsidRPr="00000000" w14:paraId="0000007C">
            <w:pPr>
              <w:pageBreakBefore w:val="0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Expanded –ed clauses as starters </w:t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Adverbial phrases to start sentences. </w:t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Relative clauses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Use of the semi-colon and dash to indicate stronger subdivision of a sentence</w:t>
            </w:r>
          </w:p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Brackets, dashes, commas for parenthesis. </w:t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Colons </w:t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commas to clarify meaning or avoid ambiguity </w:t>
            </w:r>
          </w:p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Active/ Passive </w:t>
            </w:r>
          </w:p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colon to introduce a list </w:t>
            </w:r>
          </w:p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semi-colons within lists. </w:t>
            </w:r>
          </w:p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the semi-colon and dash to indicate stronger subdivision of a sentence than a comma. </w:t>
            </w:r>
          </w:p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Punctuation of bullet points to list information.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Drop in –ed clause.</w:t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Move sentence chunks around for different effect. </w:t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Stage directions in speech e.g. “Stop!” he shouted, picking up the stick and running after the thief.  </w:t>
            </w:r>
          </w:p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Noun phrases </w:t>
            </w:r>
          </w:p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use of simple/ embellished simple sentences. </w:t>
            </w:r>
          </w:p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us of compound sentences. </w:t>
            </w:r>
          </w:p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use of complex sentences. </w:t>
            </w:r>
          </w:p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Subordinating and Coordinating conjunctions.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 Verbs </w:t>
            </w:r>
          </w:p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Formal/informal styles of writing</w:t>
            </w:r>
          </w:p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subjunctive in formal writing (e.g. If I were you).  </w:t>
            </w:r>
          </w:p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Active/ Passive</w:t>
            </w:r>
          </w:p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Developed use of rhetorical questions for persuasion.   </w:t>
            </w:r>
          </w:p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colon to introduce a list </w:t>
            </w:r>
          </w:p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semi-colons within lists.</w:t>
            </w:r>
          </w:p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hyphens can be used to avoid ambiguity (e.g. man eating shark vs man-eating shark)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Sentence reshaping techniques (e.g. lengthening or shortening sentence for meaning or effect)</w:t>
            </w:r>
          </w:p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the semi-colon and dash to indicate stronger subdivision of a sentence than a comma.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Developed use of rhetorical questions for persuasion.   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7">
            <w:pPr>
              <w:pageBreakBefore w:val="0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Grammatical terminology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Simple</w:t>
            </w:r>
          </w:p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Compound</w:t>
            </w:r>
          </w:p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Complex</w:t>
            </w:r>
          </w:p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Clause</w:t>
            </w:r>
          </w:p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Alliteration</w:t>
            </w:r>
          </w:p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onomatopoeia</w:t>
            </w:r>
          </w:p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similes</w:t>
            </w:r>
          </w:p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metaphors</w:t>
            </w:r>
          </w:p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cohesion </w:t>
            </w:r>
          </w:p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subordinating and coordinating conjunctions </w:t>
            </w:r>
          </w:p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subordinate clause </w:t>
            </w:r>
          </w:p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phrase </w:t>
            </w:r>
          </w:p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inverted commas </w:t>
            </w:r>
          </w:p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noun phrases.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Cohesion </w:t>
            </w:r>
          </w:p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Heading/sub-heading</w:t>
            </w:r>
          </w:p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Bullet points</w:t>
            </w:r>
          </w:p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Parenthesis  (brackets, dashes, commas) </w:t>
            </w:r>
          </w:p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Colons</w:t>
            </w:r>
          </w:p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Semi-colons</w:t>
            </w:r>
          </w:p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Passive/active</w:t>
            </w:r>
          </w:p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Dialogue </w:t>
            </w:r>
          </w:p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Inverted commas </w:t>
            </w:r>
          </w:p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Alliteration</w:t>
            </w:r>
          </w:p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onomatopoeia</w:t>
            </w:r>
          </w:p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similes</w:t>
            </w:r>
          </w:p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metaphors</w:t>
            </w:r>
          </w:p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clause </w:t>
            </w:r>
          </w:p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adverbial phrases </w:t>
            </w:r>
          </w:p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relative clause </w:t>
            </w:r>
          </w:p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semi-colons </w:t>
            </w:r>
          </w:p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Rhetorical questions</w:t>
            </w:r>
          </w:p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Cohesion </w:t>
            </w:r>
          </w:p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Adverbial phrases </w:t>
            </w:r>
          </w:p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Heading/subheadings </w:t>
            </w:r>
          </w:p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Bullet points </w:t>
            </w:r>
          </w:p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Formal/informal</w:t>
            </w:r>
          </w:p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Subjunctive </w:t>
            </w:r>
          </w:p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Active/passive</w:t>
            </w:r>
          </w:p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Subject </w:t>
            </w:r>
          </w:p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Object </w:t>
            </w:r>
          </w:p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Colon</w:t>
            </w:r>
          </w:p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Semi-colon</w:t>
            </w:r>
          </w:p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Hyphen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Dialogue </w:t>
            </w:r>
          </w:p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Inverted commas </w:t>
            </w:r>
          </w:p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Clause </w:t>
            </w:r>
          </w:p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Phrases </w:t>
            </w:r>
          </w:p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Semi-colon</w:t>
            </w:r>
          </w:p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Dashes</w:t>
            </w:r>
          </w:p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Comma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Cohesion </w:t>
            </w:r>
          </w:p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Adverbials </w:t>
            </w:r>
          </w:p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Conjunctions </w:t>
            </w:r>
          </w:p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Rhetorical questions </w:t>
            </w:r>
          </w:p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 Level / Spelling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Converting nous or adjectives into verbs using suffices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 prefixes 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from statutory word lists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ending ‘-able’/ ‘-ably’, and ‘-ible’/‘-ibly’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Adding suffixes beginning with vowels to words ending in ‘-fer’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SATS practice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Developed us of technical vocab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Homophones (‘ce’/‘se’)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Endings that sound like  /ʃəs/ spelt ‘-cious’ or ‘-tious’</w:t>
            </w:r>
          </w:p>
          <w:p w:rsidR="00000000" w:rsidDel="00000000" w:rsidP="00000000" w:rsidRDefault="00000000" w:rsidRPr="00000000" w14:paraId="000000F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words are related – synonyms and antonyms.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with ‘ough’ letter string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ending ‘-cial’ and ‘-tial’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Generating words from prefixes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Developed us of technical vocab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Difference between vocab typical in informal/formal speech (e.g said versed reported, alleged)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Generating words from prefixes and roots</w:t>
            </w:r>
          </w:p>
          <w:p w:rsidR="00000000" w:rsidDel="00000000" w:rsidP="00000000" w:rsidRDefault="00000000" w:rsidRPr="00000000" w14:paraId="0000010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ending in ‘ant’, ‘-ance and ‘-ancy’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Root words and meaning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  <w:shd w:fill="e5dfec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ending ‘-ent’, ‘-ence’ and ‘-ency’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10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0D">
            <w:pPr>
              <w:pageBreakBefore w:val="0"/>
              <w:ind w:left="113" w:right="113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Spoken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well-structured descriptions and narratives for different purposes. </w:t>
            </w:r>
          </w:p>
          <w:p w:rsidR="00000000" w:rsidDel="00000000" w:rsidP="00000000" w:rsidRDefault="00000000" w:rsidRPr="00000000" w14:paraId="0000010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relevant strategies to build vocabulary. </w:t>
            </w:r>
          </w:p>
          <w:p w:rsidR="00000000" w:rsidDel="00000000" w:rsidP="00000000" w:rsidRDefault="00000000" w:rsidRPr="00000000" w14:paraId="000001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speculating, hypothesising, imagining and exploring ideas.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 relevant questions to extend their understanding and knowledge.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well-structured descriptions and narratives for different purposes, including expressing feelings. </w:t>
            </w:r>
          </w:p>
          <w:p w:rsidR="00000000" w:rsidDel="00000000" w:rsidP="00000000" w:rsidRDefault="00000000" w:rsidRPr="00000000" w14:paraId="000001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relevant strategies to build vocabulary.</w:t>
            </w:r>
          </w:p>
          <w:p w:rsidR="00000000" w:rsidDel="00000000" w:rsidP="00000000" w:rsidRDefault="00000000" w:rsidRPr="00000000" w14:paraId="0000011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speculating, hypothesising, imagining and exploring ideas.</w:t>
            </w:r>
          </w:p>
          <w:p w:rsidR="00000000" w:rsidDel="00000000" w:rsidP="00000000" w:rsidRDefault="00000000" w:rsidRPr="00000000" w14:paraId="0000011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 audibly and fluently with an increasing command of Standard English.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well-structured explanations for different purposes.</w:t>
            </w:r>
          </w:p>
          <w:p w:rsidR="00000000" w:rsidDel="00000000" w:rsidP="00000000" w:rsidRDefault="00000000" w:rsidRPr="00000000" w14:paraId="0000011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attention and participate actively in collaborative conversations, staying on topic and initiating and responding to comments. 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spoken language to develop understanding through speculating, hypothesising, imagining and exploring ideas.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Articulate and justify answers, arguments and opinions.</w:t>
            </w:r>
          </w:p>
          <w:p w:rsidR="00000000" w:rsidDel="00000000" w:rsidP="00000000" w:rsidRDefault="00000000" w:rsidRPr="00000000" w14:paraId="0000012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discussions, presentations, performances, role play, improvisations and debates.</w:t>
            </w:r>
          </w:p>
          <w:p w:rsidR="00000000" w:rsidDel="00000000" w:rsidP="00000000" w:rsidRDefault="00000000" w:rsidRPr="00000000" w14:paraId="0000012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 and respond appropriately to adults and peers.</w:t>
            </w:r>
          </w:p>
          <w:p w:rsidR="00000000" w:rsidDel="00000000" w:rsidP="00000000" w:rsidRDefault="00000000" w:rsidRPr="00000000" w14:paraId="0000012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attention and participate actively in collaborative conversations, staying on topic and initiating and responding to comments.  </w:t>
            </w:r>
          </w:p>
          <w:p w:rsidR="00000000" w:rsidDel="00000000" w:rsidP="00000000" w:rsidRDefault="00000000" w:rsidRPr="00000000" w14:paraId="0000012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 audibly and fluently with an increasing command of Standard English.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28">
            <w:pPr>
              <w:pageBreakBefore w:val="0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129">
            <w:pPr>
              <w:pageBreakBefore w:val="0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compare and evaluate the text. </w:t>
            </w:r>
          </w:p>
          <w:p w:rsidR="00000000" w:rsidDel="00000000" w:rsidP="00000000" w:rsidRDefault="00000000" w:rsidRPr="00000000" w14:paraId="0000012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discuss themes and conventions in and across texts. </w:t>
            </w:r>
          </w:p>
          <w:p w:rsidR="00000000" w:rsidDel="00000000" w:rsidP="00000000" w:rsidRDefault="00000000" w:rsidRPr="00000000" w14:paraId="0000012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Inferring characters feeling, thoughts and motives from their actions and justifying with evidence. </w:t>
            </w:r>
          </w:p>
          <w:p w:rsidR="00000000" w:rsidDel="00000000" w:rsidP="00000000" w:rsidRDefault="00000000" w:rsidRPr="00000000" w14:paraId="0000012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and evaluate how authors use language including figurative language considering the impact on the reader. </w:t>
            </w:r>
          </w:p>
          <w:p w:rsidR="00000000" w:rsidDel="00000000" w:rsidP="00000000" w:rsidRDefault="00000000" w:rsidRPr="00000000" w14:paraId="0000013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how language, structure and presentation contributes to meaning.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compare and evaluate the text.</w:t>
            </w:r>
          </w:p>
          <w:p w:rsidR="00000000" w:rsidDel="00000000" w:rsidP="00000000" w:rsidRDefault="00000000" w:rsidRPr="00000000" w14:paraId="0000013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discuss themes and conventions in and across texts.</w:t>
            </w:r>
          </w:p>
          <w:p w:rsidR="00000000" w:rsidDel="00000000" w:rsidP="00000000" w:rsidRDefault="00000000" w:rsidRPr="00000000" w14:paraId="0000013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how language, structure and presentation contributes to meaning.</w:t>
            </w:r>
          </w:p>
          <w:p w:rsidR="00000000" w:rsidDel="00000000" w:rsidP="00000000" w:rsidRDefault="00000000" w:rsidRPr="00000000" w14:paraId="0000013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between statements of fact and opinion. </w:t>
            </w:r>
          </w:p>
          <w:p w:rsidR="00000000" w:rsidDel="00000000" w:rsidP="00000000" w:rsidRDefault="00000000" w:rsidRPr="00000000" w14:paraId="0000013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Retrieve, record and present information from non-fiction.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compare and evaluate the text.</w:t>
            </w:r>
          </w:p>
          <w:p w:rsidR="00000000" w:rsidDel="00000000" w:rsidP="00000000" w:rsidRDefault="00000000" w:rsidRPr="00000000" w14:paraId="0000013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discuss themes and conventions in and across texts.</w:t>
            </w:r>
          </w:p>
          <w:p w:rsidR="00000000" w:rsidDel="00000000" w:rsidP="00000000" w:rsidRDefault="00000000" w:rsidRPr="00000000" w14:paraId="0000013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 a wide range of poetry by heart. </w:t>
            </w:r>
          </w:p>
          <w:p w:rsidR="00000000" w:rsidDel="00000000" w:rsidP="00000000" w:rsidRDefault="00000000" w:rsidRPr="00000000" w14:paraId="0000014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how language, structure and presentation contributes to meaning.</w:t>
            </w:r>
          </w:p>
          <w:p w:rsidR="00000000" w:rsidDel="00000000" w:rsidP="00000000" w:rsidRDefault="00000000" w:rsidRPr="00000000" w14:paraId="0000014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and evaluate how authors use language including figurative language considering the impact on the reader. </w:t>
            </w:r>
          </w:p>
          <w:p w:rsidR="00000000" w:rsidDel="00000000" w:rsidP="00000000" w:rsidRDefault="00000000" w:rsidRPr="00000000" w14:paraId="0000014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compare and evaluate the text.</w:t>
            </w:r>
          </w:p>
          <w:p w:rsidR="00000000" w:rsidDel="00000000" w:rsidP="00000000" w:rsidRDefault="00000000" w:rsidRPr="00000000" w14:paraId="0000014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discuss themes and conventions in and across texts.</w:t>
            </w:r>
          </w:p>
          <w:p w:rsidR="00000000" w:rsidDel="00000000" w:rsidP="00000000" w:rsidRDefault="00000000" w:rsidRPr="00000000" w14:paraId="0000014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how language, structure and presentation contributes to meaning.</w:t>
            </w:r>
          </w:p>
          <w:p w:rsidR="00000000" w:rsidDel="00000000" w:rsidP="00000000" w:rsidRDefault="00000000" w:rsidRPr="00000000" w14:paraId="0000014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between statements of fact and opinion.</w:t>
            </w:r>
          </w:p>
          <w:p w:rsidR="00000000" w:rsidDel="00000000" w:rsidP="00000000" w:rsidRDefault="00000000" w:rsidRPr="00000000" w14:paraId="0000014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Retrieve, record and present information from non-fiction.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compare and evaluate the text.</w:t>
            </w:r>
          </w:p>
          <w:p w:rsidR="00000000" w:rsidDel="00000000" w:rsidP="00000000" w:rsidRDefault="00000000" w:rsidRPr="00000000" w14:paraId="0000015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discuss themes and conventions in and across texts.</w:t>
            </w:r>
          </w:p>
          <w:p w:rsidR="00000000" w:rsidDel="00000000" w:rsidP="00000000" w:rsidRDefault="00000000" w:rsidRPr="00000000" w14:paraId="0000015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how language, structure and presentation contributes to meaning.</w:t>
            </w:r>
          </w:p>
          <w:p w:rsidR="00000000" w:rsidDel="00000000" w:rsidP="00000000" w:rsidRDefault="00000000" w:rsidRPr="00000000" w14:paraId="0000015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and evaluate how authors use language including figurative language considering the impact on the reader. </w:t>
            </w:r>
          </w:p>
        </w:tc>
        <w:tc>
          <w:tcPr>
            <w:tcBorders>
              <w:top w:color="5f497a" w:space="0" w:sz="4" w:val="single"/>
              <w:left w:color="5f497a" w:space="0" w:sz="4" w:val="single"/>
              <w:bottom w:color="5f497a" w:space="0" w:sz="4" w:val="single"/>
              <w:right w:color="5f497a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compare and evaluate the text.</w:t>
            </w:r>
          </w:p>
          <w:p w:rsidR="00000000" w:rsidDel="00000000" w:rsidP="00000000" w:rsidRDefault="00000000" w:rsidRPr="00000000" w14:paraId="0000015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discuss themes and conventions in and across texts.</w:t>
            </w:r>
          </w:p>
          <w:p w:rsidR="00000000" w:rsidDel="00000000" w:rsidP="00000000" w:rsidRDefault="00000000" w:rsidRPr="00000000" w14:paraId="0000015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how language, structure and presentation contributes to meaning.</w:t>
            </w:r>
          </w:p>
          <w:p w:rsidR="00000000" w:rsidDel="00000000" w:rsidP="00000000" w:rsidRDefault="00000000" w:rsidRPr="00000000" w14:paraId="0000015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between statements of fact and opinion.</w:t>
            </w:r>
          </w:p>
          <w:p w:rsidR="00000000" w:rsidDel="00000000" w:rsidP="00000000" w:rsidRDefault="00000000" w:rsidRPr="00000000" w14:paraId="0000015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Retrieve, record and present information from non-fiction.</w:t>
            </w:r>
          </w:p>
          <w:p w:rsidR="00000000" w:rsidDel="00000000" w:rsidP="00000000" w:rsidRDefault="00000000" w:rsidRPr="00000000" w14:paraId="0000015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and discuss their understanding of what they have read including through formal presentations and debates. </w:t>
            </w:r>
          </w:p>
          <w:p w:rsidR="00000000" w:rsidDel="00000000" w:rsidP="00000000" w:rsidRDefault="00000000" w:rsidRPr="00000000" w14:paraId="0000016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reasoned justification for their views. </w:t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9" w:w="23814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F4D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77E4"/>
    <w:pPr>
      <w:ind w:left="720"/>
      <w:contextualSpacing w:val="1"/>
    </w:pPr>
  </w:style>
  <w:style w:type="paragraph" w:styleId="Default" w:customStyle="1">
    <w:name w:val="Default"/>
    <w:rsid w:val="00E51B0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MediumShading2-Accent4">
    <w:name w:val="Medium Shading 2 Accent 4"/>
    <w:basedOn w:val="TableNormal"/>
    <w:uiPriority w:val="64"/>
    <w:rsid w:val="0005756B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2B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2B1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SSz/upoTPeDGmjq+RirFnq0GA==">AMUW2mVl99lm4fCJibw+lHhutpMMa2mh6laWB+l5iPlcU80MJI+mxY1+WlpMWLVjSavsMqsRm1/7CgRfqydL3lBc9WRX+t9eIKycHFIf7A1rqugezz9H1KA=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2017-07-06T13:10:00Z</dcterms:created>
  <dc:creator>Samantha Morrissy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0x0101004A5FC2BC9C28774095DB153BF89433B9</vt:lpwstr>
  </property>
</Properties>
</file>